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C329D">
        <w:rPr>
          <w:rFonts w:ascii="Times New Roman" w:hAnsi="Times New Roman" w:cs="Times New Roman"/>
          <w:sz w:val="24"/>
          <w:szCs w:val="24"/>
        </w:rPr>
        <w:t>5343</w:t>
      </w:r>
      <w:bookmarkStart w:id="2" w:name="_GoBack"/>
      <w:bookmarkEnd w:id="2"/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91A83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E91A83" w:rsidRPr="00E91A83">
        <w:rPr>
          <w:rFonts w:ascii="Times New Roman" w:hAnsi="Times New Roman" w:cs="Times New Roman"/>
          <w:b/>
          <w:sz w:val="24"/>
          <w:szCs w:val="24"/>
        </w:rPr>
        <w:t xml:space="preserve"> комплектного распределительного устройства 10 кВ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31" w:rsidRPr="00502287" w:rsidRDefault="00317D31" w:rsidP="00317D3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32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32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3812B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F382E5C-40B2-4C9B-BC80-97D44046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41</cp:revision>
  <cp:lastPrinted>2015-04-07T13:30:00Z</cp:lastPrinted>
  <dcterms:created xsi:type="dcterms:W3CDTF">2016-11-10T08:21:00Z</dcterms:created>
  <dcterms:modified xsi:type="dcterms:W3CDTF">2022-10-31T11:01:00Z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